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РЕГИОНАЛЬНОЕ СОТРУДНИЧЕСТВО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Дороги, которые мы выбираем: трансмиссия ВИЧ/СПИД по дорогам Кыргызстана и Таджикистана (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>)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30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Савия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Хасанова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Август 22, 2017 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309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>: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Теоретически, как это хорошо уяснили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центральноазиатские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страны, находящиеся в центре современных «шелковых путей», новые дороги ведут к процветанию: инвестиции в транспорт сокращают расходы, улучшают доступ к рынкам, способствуют росту торговли, экономической интеграции, стимулируют конкуренцию, создают новые индустрии и приводят к другим экономическим выгодам. Но так как новые дороги увеличивают трафик транспорта, людей и товаров, они также могут ускорить распространение и негативных явлений: преступности, наркотиков, незаконных товаров и заболеваний.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В 2012 году АБР опубликовал работу, в которой были высказаны опасения в отношении расширения транспортных коридоров в регионе ЦАРЭС (Центральная Азия, Афганистан, Азербайджан, Китай, Монголия и Пакистан) и роста распространенности и заболеваемости ВИЧ-инфекцией. Действительно, как показывают результаты исследований, улучшение транспортной инфраструктуры дорог, расширение транспортных коридоров и увеличение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пассажир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 xml:space="preserve"> и грузопотоков приводит к росту возможностей передачи ВИЧ-инфекции, в особенности, в заведомо неблагоприятных регионах. Возросшему риску ВИЧ-инфицирования подвергаются как строители новых дорог, так и пассажиры, дальнобойщики и местные жители.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Для Кыргызстана и Таджикистана – стран, на сегодняшний день имеющих наименьший уровень распространенности ВИЧ-инфекции среди соседей – расширение дорог несет особенные риски. За последние 10 лет пассажирооборот в Кыргызстане вырос в 1,8 раз, а перевозки грузов автомобильным транспортом на 20%[1]. Одновременно с этим перевозки грузов автомобильным транспортом в Таджикистане возросли более чем в 2.5 раза[2].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Три из шести транспортных коридоров ЦАРЭС проходят через Таджикистан. Один из реабилитированных – коридор Север-Юг – соединяет Таджикистан с Афганистаном (с юга), с Казахстаном и Россией (на севере). Еще один коридор – Восток-Запад –   включает в себя дорогу, проходящую через </w:t>
      </w:r>
      <w:r w:rsidRPr="00CA0309">
        <w:rPr>
          <w:rFonts w:ascii="Times New Roman" w:hAnsi="Times New Roman" w:cs="Times New Roman"/>
          <w:sz w:val="28"/>
          <w:szCs w:val="28"/>
        </w:rPr>
        <w:lastRenderedPageBreak/>
        <w:t>Душанбе и соединяющую Кыргызстан и Китай. Через Кыргызстан проходят четыре из шести коридоров ЦАРЭС, которые связывают густонаселенные пункты с изолированными и создают «мосты» между Кыргызстаном, Казахстаном, Россией и Китаем и Юго-восточной Азией (через Таджикистан и Афганистан).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С развитием транспортной инфраструктуры мобильность населения в Центральной Азии возрастает. Беспокойство заключается в том, что, в первую очередь, движение населения осуществляется в рамках ближайших соседей – Узбекистана, Казахстана и России, где распространенность ВИЧ-инфекции выше, чем Кыргызстане и Таджикистане. Численность людей, живущих с ВИЧ, в Таджикистане составляет 71.6 человек на 100 тыс. населения, в Кыргызстане – 79.3 человек, в то время как в других странах этот показатель 100 человек. Более того, Кыргызстан в свое время стал последней страной СНГ, свободной от ВИЧ: первый локальный случай заражения ВИЧ-инфекцией был зафиксирован в 1996 году.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Уровень распространенности ВИЧ в основных транспортных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хабах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Кыргызстана и Таджикистана только подтверждают тезис о взаимосвязи транспортных узлов и повышенном риске трансмиссии ВИЧ[3]. 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 xml:space="preserve">Так, численность зарегистрированных людей, живущих с ВИЧ (ЛЖВ), в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и Чуйской областях Кыргызстана, включая города Бишкек и Ош, во-первых, за последние пять лет показывает постоянную тенденцию к росту, во-вторых, составляет более 80% всех людей, живущих с ВИЧ в стране[4].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 xml:space="preserve"> При этом города Бишкек и Ош являются главными транспортными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хабами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на севере и юге страны. В Таджикистане наибольшая распространенность ВИЧ отмечается в Душанбе и Согдийской области – вместе более 50% от всех ЛЖВ Таджикистана[5]. Согдийская область является основным транспортным узлом республики, граничащим с Кыргызстаном и Узбекистаном, в которой расположены такие крупные города, как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Худжант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, Исфара и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Истарафшан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>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Помимо увеличения мобильности населения, развитие транспортной инфраструктуры и расширение дорог усиливает транспортные связи с Афганистаном, который является главным поставщиком инъекционных наркотиков в регионе. На сегодняшний день в Центральной Азии насчитывается 280 тыс. потребителей наркотиков, из них 78,6% являются лицами, употребляющими наркотики инъекционно. В Кыргызской Республике оценочное количество потребителей инъекционных наркотиков составляет 25 тыс. человек. В Таджикистане показатель распространенности </w:t>
      </w:r>
      <w:r w:rsidRPr="00CA0309">
        <w:rPr>
          <w:rFonts w:ascii="Times New Roman" w:hAnsi="Times New Roman" w:cs="Times New Roman"/>
          <w:sz w:val="28"/>
          <w:szCs w:val="28"/>
        </w:rPr>
        <w:lastRenderedPageBreak/>
        <w:t>ВИЧ среди людей, потребляющих инъекционные наркотики, достигает 12,9%.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Однако, несмотря на высокий уровень влияния наркотиков на эпидемию ВИЧ, наибольшим опасением является то, что превалирующий путь передачи ВИЧ кардинально сменился с инъекционного 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 xml:space="preserve"> половой. Причем, эта тенденция отмечается практически во всех странах Центральной Азии. В Таджикистане в 2010 году удельный вес полового пути передачи ВИЧ среди вновь выявленных случаев составлял 25%, в 2015 году уже 62%[6]! Аналогично, в Кыргызстане в 2010 году половым путем было заражено 33% от числа выявленных случаев, а в 2015-м – уже 65%[7]. В Узбекистане половой путь передачи в 2009 году составлял 32.2%, в 2013 – 58.4%[8]. Это означает, что эпидемия ВИЧ выходит за пределы уязвимых групп. Если раньше заражение ВИЧ-инфекцией происходило преимущественно среди потребителей инъекционных наркотиков, и не вызывало большого опасения среди здоровых граждан, то с увеличением полового пути передачи ВИЧ, инфекция все больше и больше выходит «в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массы»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раньше заражение ВИЧ-инфекцией происходило преимущественно среди потребителей инъекционных наркотиков, и не вызывало большого опасения среди здоровых граждан, то с увеличением полового пути передачи ВИЧ, инфекция все больше и больше выходит «в массы».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Здесь немаловажную роль играют 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секс-работники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>. По данным исследований, оценочное число работников секса в Кыргызстане составляет 7100 человек, в Таджикистане несколько меньше. Достоверность этих оценок проверить трудно. Единственное, что мы знаем точно, это то, что данный вид бизнеса широко процветает вдоль транспортных коридоров и на основных транспортных магистралях. В отношении мер профилактики передачи ВИЧ-инфекции, опросы показывают, что лишь от 80 до 90% работников секса используют презервативы.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Наконец, критическим фактором для Кыргызстана и Таджикистана становится фактор внешней миграции. С одной стороны, города вдоль транспортных коридоров превращаются в перевалочные пункты для дальнобойщиков, дорожных строителей и трудовых мигрантов, которые в силу долгого отсутствия дома и изолированности, с большей вероятностью могут быть вовлечены в непостоянные и небезопасные половые связи. Примером такого перевалочного пункта долгое время был город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Вахдат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в Таджикистане. Обилие развлекательных заведений и казино, потребителей </w:t>
      </w:r>
      <w:r w:rsidRPr="00CA0309">
        <w:rPr>
          <w:rFonts w:ascii="Times New Roman" w:hAnsi="Times New Roman" w:cs="Times New Roman"/>
          <w:sz w:val="28"/>
          <w:szCs w:val="28"/>
        </w:rPr>
        <w:lastRenderedPageBreak/>
        <w:t>инъекционных наркотиков, работников секса стали отличительными его чертами, что привело к вспышке ВИЧ-инфекции среди его обитателей.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С другой стороны, мигранты, проживающие в соседних странах, часто не имеют доступа к здравоохранению и инструментам профилактики ВИЧ, не обладают достаточными знаниями о методах заражения и профилактики ВИЧ/СПИДа. Жены мигрантов, к сожалению, становятся чрезвычайно уязвимыми к действиям своих мужей. Как отметили в руководстве таджикского центра по профилактике и борьбе со СПИД, за 2015 год из общего количества опрошенных инфицированных женщин 50.4% отметили, что их сексуальные партнеры являются трудовыми мигрантами, а сами жены мигрантов причисляются к уязвимым группам. Кроме того, увеличивается количество 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 xml:space="preserve"> людей, ранее бывших в трудовой миграции. В 2011 году из этой категории людей был зарегистрирован 61 новый случай заражения ВИЧ, в 2015-м – 165. Важно также отметить, что увеличивающийся удельный вес заражения женщин приводит к росту случаев вертикальной передачи ВИЧ – от матери к ребенку, что в конечном итоге только усугубляет эпидемиологическую ситуацию.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Резюмируя, отметим, что либерализация торговли, улучшение транспортной инфраструктуры и развитие дорожного сообщения между странами приведет к росту уязвимости тех категорий населения, которые в большей мере подвержены риску трансмиссии ВИЧ. Как показывает текущая ситуация, существуют большие пробелы в профилактике ВИЧ. С одной стороны, уязвимым группам крайне необходимо иметь доступ к полному спектру вариантов профилактики ВИЧ для того, чтобы защитить себя и своих сексуальных партнеров. С другой стороны, люди не чувствуют себя безопасно или не имеют сре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 xml:space="preserve">я доступа к комбинированным профилактическим услугам. Наличие стигмы и дискриминации людей, живущих с ВИЧ, остается присущим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центральноазиатскому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 xml:space="preserve"> региону. К сожалению, основная работа по профилактике и лечению ВИЧ-инфекции отдана на откуп донорским организациям. Правительства наших стран крайне неохотно идут на внедрение в школах курсов по безопасному сексуальному поведению и предпочитают карательные меры в работе с наркоманами и </w:t>
      </w:r>
      <w:proofErr w:type="gramStart"/>
      <w:r w:rsidRPr="00CA0309">
        <w:rPr>
          <w:rFonts w:ascii="Times New Roman" w:hAnsi="Times New Roman" w:cs="Times New Roman"/>
          <w:sz w:val="28"/>
          <w:szCs w:val="28"/>
        </w:rPr>
        <w:t>секс-работниками</w:t>
      </w:r>
      <w:proofErr w:type="gramEnd"/>
      <w:r w:rsidRPr="00CA0309">
        <w:rPr>
          <w:rFonts w:ascii="Times New Roman" w:hAnsi="Times New Roman" w:cs="Times New Roman"/>
          <w:sz w:val="28"/>
          <w:szCs w:val="28"/>
        </w:rPr>
        <w:t>.  Именно открытое обсуждение и улучшенный доступ к программам профилактики могут содействовать значительному снижению числа новых случаев заражения ВИЧ, в особенности в условиях имеющих место региональной интеграции и активизации транспортных потоков.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Ссылки: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[1] С 2006 по 2016 гг. Данные НСК КР.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[2] С 2005 по 2015 гг. Данные Агентства по статистике при Президенте РТ.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09">
        <w:rPr>
          <w:rFonts w:ascii="Times New Roman" w:hAnsi="Times New Roman" w:cs="Times New Roman"/>
          <w:sz w:val="28"/>
          <w:szCs w:val="28"/>
        </w:rPr>
        <w:t xml:space="preserve">[3] Конечно, часть случаев связана с тем, что транспортные </w:t>
      </w:r>
      <w:proofErr w:type="spellStart"/>
      <w:r w:rsidRPr="00CA0309">
        <w:rPr>
          <w:rFonts w:ascii="Times New Roman" w:hAnsi="Times New Roman" w:cs="Times New Roman"/>
          <w:sz w:val="28"/>
          <w:szCs w:val="28"/>
        </w:rPr>
        <w:t>хабы</w:t>
      </w:r>
      <w:proofErr w:type="spellEnd"/>
      <w:r w:rsidRPr="00CA0309">
        <w:rPr>
          <w:rFonts w:ascii="Times New Roman" w:hAnsi="Times New Roman" w:cs="Times New Roman"/>
          <w:sz w:val="28"/>
          <w:szCs w:val="28"/>
        </w:rPr>
        <w:t>, как правило, являются развитыми городами, и лечение в них более доступно.</w:t>
      </w:r>
      <w:proofErr w:type="gramEnd"/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[4] Собственные расчеты на основании базы данных Целей развития тысячелетия.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[5] Собственные расчеты на основании http://nc-aids.tj/statistika.html 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[6] Отчет страны о достигнутом прогрессе в противодействии эпидемии ВИЧ, Республика Таджикистан, 2016.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[7] Данные справочника РМИЦ КР.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  <w:r w:rsidRPr="00CA0309">
        <w:rPr>
          <w:rFonts w:ascii="Times New Roman" w:hAnsi="Times New Roman" w:cs="Times New Roman"/>
          <w:sz w:val="28"/>
          <w:szCs w:val="28"/>
        </w:rPr>
        <w:t>[8] Доклад по Целям развития тысячелетия, Узбекистан, 2015.</w:t>
      </w:r>
    </w:p>
    <w:p w:rsidR="00CA0309" w:rsidRPr="00CA0309" w:rsidRDefault="00CA0309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118" w:rsidRDefault="00393118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Default="007A1260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Default="007A1260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Default="007A1260" w:rsidP="00CA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Default="007A1260" w:rsidP="007A1260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10100" cy="2781300"/>
            <wp:effectExtent l="0" t="0" r="0" b="0"/>
            <wp:docPr id="1" name="Рисунок 1" descr="https://s3.amazonaws.com/piktochartv2-dev/v2/uploads/e01e1393-830f-4e78-b207-2f3442d15155/bb002ba047d9dbf7b89cae296a59e52cb62c93f2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iktochartv2-dev/v2/uploads/e01e1393-830f-4e78-b207-2f3442d15155/bb002ba047d9dbf7b89cae296a59e52cb62c93f2_orig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60" w:rsidRDefault="007A1260" w:rsidP="007A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Default="007A1260" w:rsidP="007A12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260" w:rsidRDefault="007A1260" w:rsidP="007A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Default="007A1260" w:rsidP="007A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260" w:rsidRPr="00CA0309" w:rsidRDefault="007A1260" w:rsidP="007A1260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0">
        <w:rPr>
          <w:rFonts w:ascii="Times New Roman" w:hAnsi="Times New Roman" w:cs="Times New Roman"/>
          <w:sz w:val="28"/>
          <w:szCs w:val="28"/>
        </w:rPr>
        <w:t xml:space="preserve">Инъекционные наркотики и </w:t>
      </w:r>
      <w:proofErr w:type="gramStart"/>
      <w:r w:rsidRPr="007A1260">
        <w:rPr>
          <w:rFonts w:ascii="Times New Roman" w:hAnsi="Times New Roman" w:cs="Times New Roman"/>
          <w:sz w:val="28"/>
          <w:szCs w:val="28"/>
        </w:rPr>
        <w:t>секс-мигранты</w:t>
      </w:r>
      <w:proofErr w:type="gramEnd"/>
      <w:r w:rsidRPr="007A1260">
        <w:rPr>
          <w:rFonts w:ascii="Times New Roman" w:hAnsi="Times New Roman" w:cs="Times New Roman"/>
          <w:sz w:val="28"/>
          <w:szCs w:val="28"/>
        </w:rPr>
        <w:t xml:space="preserve"> остаются главными факторами распространения вируса в регионе</w:t>
      </w:r>
    </w:p>
    <w:sectPr w:rsidR="007A1260" w:rsidRPr="00CA03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09" w:rsidRDefault="00CA0309" w:rsidP="00CA0309">
      <w:pPr>
        <w:spacing w:after="0" w:line="240" w:lineRule="auto"/>
      </w:pPr>
      <w:r>
        <w:separator/>
      </w:r>
    </w:p>
  </w:endnote>
  <w:endnote w:type="continuationSeparator" w:id="0">
    <w:p w:rsidR="00CA0309" w:rsidRDefault="00CA0309" w:rsidP="00CA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1812"/>
      <w:docPartObj>
        <w:docPartGallery w:val="Page Numbers (Bottom of Page)"/>
        <w:docPartUnique/>
      </w:docPartObj>
    </w:sdtPr>
    <w:sdtContent>
      <w:p w:rsidR="00CA0309" w:rsidRDefault="00CA03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0B">
          <w:rPr>
            <w:noProof/>
          </w:rPr>
          <w:t>5</w:t>
        </w:r>
        <w:r>
          <w:fldChar w:fldCharType="end"/>
        </w:r>
      </w:p>
    </w:sdtContent>
  </w:sdt>
  <w:p w:rsidR="00CA0309" w:rsidRDefault="00CA03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09" w:rsidRDefault="00CA0309" w:rsidP="00CA0309">
      <w:pPr>
        <w:spacing w:after="0" w:line="240" w:lineRule="auto"/>
      </w:pPr>
      <w:r>
        <w:separator/>
      </w:r>
    </w:p>
  </w:footnote>
  <w:footnote w:type="continuationSeparator" w:id="0">
    <w:p w:rsidR="00CA0309" w:rsidRDefault="00CA0309" w:rsidP="00CA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09"/>
    <w:rsid w:val="00352B0B"/>
    <w:rsid w:val="00393118"/>
    <w:rsid w:val="007A1260"/>
    <w:rsid w:val="00C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309"/>
  </w:style>
  <w:style w:type="paragraph" w:styleId="a5">
    <w:name w:val="footer"/>
    <w:basedOn w:val="a"/>
    <w:link w:val="a6"/>
    <w:uiPriority w:val="99"/>
    <w:unhideWhenUsed/>
    <w:rsid w:val="00CA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309"/>
  </w:style>
  <w:style w:type="paragraph" w:styleId="a7">
    <w:name w:val="Balloon Text"/>
    <w:basedOn w:val="a"/>
    <w:link w:val="a8"/>
    <w:uiPriority w:val="99"/>
    <w:semiHidden/>
    <w:unhideWhenUsed/>
    <w:rsid w:val="007A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309"/>
  </w:style>
  <w:style w:type="paragraph" w:styleId="a5">
    <w:name w:val="footer"/>
    <w:basedOn w:val="a"/>
    <w:link w:val="a6"/>
    <w:uiPriority w:val="99"/>
    <w:unhideWhenUsed/>
    <w:rsid w:val="00CA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309"/>
  </w:style>
  <w:style w:type="paragraph" w:styleId="a7">
    <w:name w:val="Balloon Text"/>
    <w:basedOn w:val="a"/>
    <w:link w:val="a8"/>
    <w:uiPriority w:val="99"/>
    <w:semiHidden/>
    <w:unhideWhenUsed/>
    <w:rsid w:val="007A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Рахмон</dc:creator>
  <cp:lastModifiedBy>Рахмон</cp:lastModifiedBy>
  <cp:revision>2</cp:revision>
  <dcterms:created xsi:type="dcterms:W3CDTF">2017-08-23T10:51:00Z</dcterms:created>
  <dcterms:modified xsi:type="dcterms:W3CDTF">2017-08-23T12:07:00Z</dcterms:modified>
</cp:coreProperties>
</file>